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小标宋简体" w:eastAsia="方正小标宋简体" w:cs="Times New Roman"/>
          <w:sz w:val="36"/>
          <w:szCs w:val="44"/>
        </w:rPr>
      </w:pPr>
      <w:r>
        <w:rPr>
          <w:rFonts w:hint="eastAsia" w:ascii="方正小标宋简体" w:eastAsia="方正小标宋简体" w:cs="Times New Roman"/>
          <w:sz w:val="36"/>
          <w:szCs w:val="44"/>
        </w:rPr>
        <w:t>附件</w:t>
      </w:r>
      <w:r>
        <w:rPr>
          <w:rFonts w:ascii="方正小标宋简体" w:eastAsia="方正小标宋简体" w:cs="Times New Roman"/>
          <w:sz w:val="36"/>
          <w:szCs w:val="44"/>
        </w:rPr>
        <w:t>1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36"/>
        </w:rPr>
      </w:pPr>
      <w:bookmarkStart w:id="0" w:name="_Hlk514673571"/>
      <w:r>
        <w:rPr>
          <w:rFonts w:hint="eastAsia" w:ascii="方正小标宋简体" w:hAnsi="Calibri" w:eastAsia="方正小标宋简体"/>
          <w:sz w:val="36"/>
        </w:rPr>
        <w:t>工业互联网平台建设及推广指南</w:t>
      </w:r>
    </w:p>
    <w:bookmarkEnd w:id="0"/>
    <w:p>
      <w:pPr>
        <w:spacing w:line="600" w:lineRule="exact"/>
        <w:jc w:val="center"/>
        <w:rPr>
          <w:rFonts w:ascii="仿宋_GB2312" w:hAnsi="Calibri"/>
        </w:rPr>
      </w:pPr>
    </w:p>
    <w:p>
      <w:pPr>
        <w:spacing w:line="600" w:lineRule="exact"/>
        <w:ind w:firstLine="64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工业互联网平台是面向制造业数字化、网络化、智能化需求，构建基于</w:t>
      </w:r>
      <w:r>
        <w:rPr>
          <w:rFonts w:hint="eastAsia" w:cs="Times New Roman"/>
          <w:szCs w:val="32"/>
        </w:rPr>
        <w:t>云平台的</w:t>
      </w:r>
      <w:r>
        <w:rPr>
          <w:rFonts w:cs="Times New Roman"/>
          <w:szCs w:val="32"/>
        </w:rPr>
        <w:t>海量数据采集、汇聚、分析服务体系，支撑制造资源泛在连接、弹性供给、高效配置</w:t>
      </w:r>
      <w:r>
        <w:rPr>
          <w:rFonts w:hint="eastAsia" w:cs="Times New Roman"/>
          <w:szCs w:val="32"/>
        </w:rPr>
        <w:t>。为贯彻落实《国务院关于深化</w:t>
      </w:r>
      <w:r>
        <w:rPr>
          <w:rFonts w:cs="Times New Roman"/>
          <w:szCs w:val="32"/>
        </w:rPr>
        <w:t>“</w:t>
      </w:r>
      <w:r>
        <w:rPr>
          <w:rFonts w:hint="eastAsia" w:cs="Times New Roman"/>
          <w:szCs w:val="32"/>
        </w:rPr>
        <w:t>互联网</w:t>
      </w:r>
      <w:r>
        <w:rPr>
          <w:rFonts w:cs="Times New Roman"/>
          <w:szCs w:val="32"/>
        </w:rPr>
        <w:t>+</w:t>
      </w:r>
      <w:r>
        <w:rPr>
          <w:rFonts w:hint="eastAsia" w:cs="Times New Roman"/>
          <w:szCs w:val="32"/>
        </w:rPr>
        <w:t>先进制造业</w:t>
      </w:r>
      <w:r>
        <w:rPr>
          <w:rFonts w:cs="Times New Roman"/>
          <w:szCs w:val="32"/>
        </w:rPr>
        <w:t>”</w:t>
      </w:r>
      <w:r>
        <w:rPr>
          <w:rFonts w:hint="eastAsia" w:cs="Times New Roman"/>
          <w:szCs w:val="32"/>
        </w:rPr>
        <w:t>发展工业互联网的指导意见》，加快发展工业</w:t>
      </w:r>
      <w:r>
        <w:rPr>
          <w:rFonts w:cs="Times New Roman"/>
          <w:szCs w:val="32"/>
        </w:rPr>
        <w:t>互联网平台</w:t>
      </w:r>
      <w:r>
        <w:rPr>
          <w:rFonts w:hint="eastAsia" w:cs="Times New Roman"/>
          <w:szCs w:val="32"/>
        </w:rPr>
        <w:t>，制定本指南。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一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总体要求</w:t>
      </w:r>
    </w:p>
    <w:p>
      <w:pPr>
        <w:spacing w:line="600" w:lineRule="exact"/>
        <w:ind w:firstLine="640" w:firstLineChars="200"/>
        <w:rPr>
          <w:rFonts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深入贯彻落实党的十九大和十九届二中、三中全会精神，以习近平新时代中国特色社会主义思想为指导，坚持新发展理念，聚焦工业互联网平台发展，以平台标准为引领，坚持建平台和用平台双轮驱动，打造平台生态体系，优化平台监管环境，加快培育平台新技术、新产品、新模式、新业态，有力支撑制造强国和网络强国建设。</w:t>
      </w:r>
    </w:p>
    <w:p>
      <w:pPr>
        <w:spacing w:line="60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到</w:t>
      </w:r>
      <w:r>
        <w:rPr>
          <w:rFonts w:cs="Times New Roman"/>
          <w:szCs w:val="32"/>
        </w:rPr>
        <w:t>2020</w:t>
      </w:r>
      <w:r>
        <w:rPr>
          <w:rFonts w:hint="eastAsia" w:cs="Times New Roman"/>
          <w:szCs w:val="32"/>
        </w:rPr>
        <w:t>年，培育1</w:t>
      </w:r>
      <w:r>
        <w:rPr>
          <w:rFonts w:cs="Times New Roman"/>
          <w:szCs w:val="32"/>
        </w:rPr>
        <w:t>0家</w:t>
      </w:r>
      <w:r>
        <w:rPr>
          <w:rFonts w:hint="eastAsia" w:cs="Times New Roman"/>
          <w:szCs w:val="32"/>
        </w:rPr>
        <w:t>左右</w:t>
      </w:r>
      <w:r>
        <w:rPr>
          <w:rFonts w:cs="Times New Roman"/>
          <w:szCs w:val="32"/>
        </w:rPr>
        <w:t>的跨行业跨领域工业互联网平台和</w:t>
      </w:r>
      <w:r>
        <w:rPr>
          <w:rFonts w:hint="eastAsia" w:cs="Times New Roman"/>
          <w:szCs w:val="32"/>
        </w:rPr>
        <w:t>一批面向特定</w:t>
      </w:r>
      <w:r>
        <w:rPr>
          <w:rFonts w:cs="Times New Roman"/>
          <w:szCs w:val="32"/>
        </w:rPr>
        <w:t>行业、特定区域的企业级</w:t>
      </w:r>
      <w:r>
        <w:rPr>
          <w:rFonts w:hint="eastAsia" w:cs="Times New Roman"/>
          <w:szCs w:val="32"/>
        </w:rPr>
        <w:t>工业互联网平台，工业</w:t>
      </w:r>
      <w:r>
        <w:rPr>
          <w:rFonts w:cs="Times New Roman"/>
          <w:szCs w:val="32"/>
        </w:rPr>
        <w:t>APP</w:t>
      </w:r>
      <w:r>
        <w:rPr>
          <w:rFonts w:hint="eastAsia" w:cs="Times New Roman"/>
          <w:szCs w:val="32"/>
        </w:rPr>
        <w:t>大规模开发应用体系基本形成，重点工业设备上云取得重大突破，遴选一批工业</w:t>
      </w:r>
      <w:r>
        <w:rPr>
          <w:rFonts w:cs="Times New Roman"/>
          <w:szCs w:val="32"/>
        </w:rPr>
        <w:t>互联网试点示范（平台方向）</w:t>
      </w:r>
      <w:r>
        <w:rPr>
          <w:rFonts w:ascii="仿宋_GB2312" w:hAnsi="Calibri"/>
          <w:szCs w:val="32"/>
        </w:rPr>
        <w:t>项目</w:t>
      </w:r>
      <w:r>
        <w:rPr>
          <w:rFonts w:hint="eastAsia" w:ascii="仿宋_GB2312" w:hAnsi="Calibri"/>
          <w:szCs w:val="32"/>
        </w:rPr>
        <w:t>，建成平台试验测试和公共服务体系，工业互联网平台生态初步形成。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二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制定工业</w:t>
      </w:r>
      <w:r>
        <w:rPr>
          <w:rFonts w:ascii="黑体" w:hAnsi="黑体" w:eastAsia="黑体" w:cs="Times New Roman"/>
          <w:szCs w:val="32"/>
        </w:rPr>
        <w:t>互联网平台</w:t>
      </w:r>
      <w:r>
        <w:rPr>
          <w:rFonts w:hint="eastAsia" w:ascii="黑体" w:hAnsi="黑体" w:eastAsia="黑体" w:cs="Times New Roman"/>
          <w:szCs w:val="32"/>
        </w:rPr>
        <w:t>标准</w:t>
      </w:r>
    </w:p>
    <w:p>
      <w:pPr>
        <w:spacing w:line="600" w:lineRule="exact"/>
        <w:ind w:firstLine="643" w:firstLineChars="200"/>
        <w:rPr>
          <w:rFonts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（一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建立</w:t>
      </w:r>
      <w:r>
        <w:rPr>
          <w:rFonts w:ascii="楷体_GB2312" w:eastAsia="楷体_GB2312" w:cs="Times New Roman"/>
          <w:b/>
          <w:szCs w:val="32"/>
        </w:rPr>
        <w:t>工业互联网平台</w:t>
      </w:r>
      <w:r>
        <w:rPr>
          <w:rFonts w:hint="eastAsia" w:ascii="楷体_GB2312" w:eastAsia="楷体_GB2312" w:cs="Times New Roman"/>
          <w:b/>
          <w:szCs w:val="32"/>
        </w:rPr>
        <w:t>标准</w:t>
      </w:r>
      <w:r>
        <w:rPr>
          <w:rFonts w:ascii="楷体_GB2312" w:eastAsia="楷体_GB2312" w:cs="Times New Roman"/>
          <w:b/>
          <w:szCs w:val="32"/>
        </w:rPr>
        <w:t>体系。</w:t>
      </w:r>
      <w:r>
        <w:rPr>
          <w:rFonts w:hint="eastAsia" w:cs="Times New Roman"/>
          <w:bCs/>
          <w:szCs w:val="32"/>
        </w:rPr>
        <w:t>制定工业互联网平台参考架构、技术</w:t>
      </w:r>
      <w:r>
        <w:rPr>
          <w:rFonts w:cs="Times New Roman"/>
          <w:bCs/>
          <w:szCs w:val="32"/>
        </w:rPr>
        <w:t>框架、评价指标</w:t>
      </w:r>
      <w:r>
        <w:rPr>
          <w:rFonts w:hint="eastAsia" w:cs="Times New Roman"/>
          <w:bCs/>
          <w:szCs w:val="32"/>
        </w:rPr>
        <w:t>等基础共性标准。组织推进</w:t>
      </w:r>
      <w:r>
        <w:rPr>
          <w:rFonts w:hint="eastAsia" w:ascii="仿宋_GB2312"/>
          <w:szCs w:val="32"/>
        </w:rPr>
        <w:t>边缘计算、异构协议兼容适配、工业微服务框架、平台数据管理、平台开放接口</w:t>
      </w:r>
      <w:r>
        <w:rPr>
          <w:rFonts w:hint="eastAsia" w:cs="Times New Roman"/>
          <w:bCs/>
          <w:szCs w:val="32"/>
        </w:rPr>
        <w:t>、应用和数据迁移、</w:t>
      </w:r>
      <w:r>
        <w:rPr>
          <w:rFonts w:cs="Times New Roman"/>
          <w:bCs/>
          <w:szCs w:val="32"/>
        </w:rPr>
        <w:t>平台安全</w:t>
      </w:r>
      <w:r>
        <w:rPr>
          <w:rFonts w:hint="eastAsia" w:cs="Times New Roman"/>
          <w:bCs/>
          <w:szCs w:val="32"/>
        </w:rPr>
        <w:t>等关键技术标准制定，面向</w:t>
      </w:r>
      <w:r>
        <w:rPr>
          <w:rFonts w:cs="Times New Roman"/>
          <w:bCs/>
          <w:szCs w:val="32"/>
        </w:rPr>
        <w:t>特定</w:t>
      </w:r>
      <w:r>
        <w:rPr>
          <w:rFonts w:hint="eastAsia" w:cs="Times New Roman"/>
          <w:bCs/>
          <w:szCs w:val="32"/>
        </w:rPr>
        <w:t>行业制定形成</w:t>
      </w:r>
      <w:r>
        <w:rPr>
          <w:rFonts w:cs="Times New Roman"/>
          <w:bCs/>
          <w:szCs w:val="32"/>
        </w:rPr>
        <w:t>一批</w:t>
      </w:r>
      <w:r>
        <w:rPr>
          <w:rFonts w:hint="eastAsia" w:cs="Times New Roman"/>
          <w:bCs/>
          <w:szCs w:val="32"/>
        </w:rPr>
        <w:t>平台应用标准。</w:t>
      </w:r>
    </w:p>
    <w:p>
      <w:pPr>
        <w:spacing w:line="600" w:lineRule="exact"/>
        <w:ind w:firstLine="643" w:firstLineChars="200"/>
        <w:rPr>
          <w:rFonts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（二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推动形成平台标准制定</w:t>
      </w:r>
      <w:r>
        <w:rPr>
          <w:rFonts w:ascii="楷体_GB2312" w:eastAsia="楷体_GB2312" w:cs="Times New Roman"/>
          <w:b/>
          <w:szCs w:val="32"/>
        </w:rPr>
        <w:t>与推广</w:t>
      </w:r>
      <w:r>
        <w:rPr>
          <w:rFonts w:hint="eastAsia" w:ascii="楷体_GB2312" w:eastAsia="楷体_GB2312" w:cs="Times New Roman"/>
          <w:b/>
          <w:szCs w:val="32"/>
        </w:rPr>
        <w:t>机制。</w:t>
      </w:r>
      <w:r>
        <w:rPr>
          <w:rFonts w:hint="eastAsia" w:cs="Times New Roman"/>
          <w:bCs/>
          <w:szCs w:val="32"/>
        </w:rPr>
        <w:t>充分</w:t>
      </w:r>
      <w:r>
        <w:rPr>
          <w:rFonts w:cs="Times New Roman"/>
          <w:bCs/>
          <w:szCs w:val="32"/>
        </w:rPr>
        <w:t>发挥企业、</w:t>
      </w:r>
      <w:r>
        <w:rPr>
          <w:rFonts w:hint="eastAsia" w:cs="Times New Roman"/>
          <w:bCs/>
          <w:szCs w:val="32"/>
        </w:rPr>
        <w:t>高校</w:t>
      </w:r>
      <w:r>
        <w:rPr>
          <w:rFonts w:cs="Times New Roman"/>
          <w:bCs/>
          <w:szCs w:val="32"/>
        </w:rPr>
        <w:t>、科研院所、联盟、行业协会作用，</w:t>
      </w:r>
      <w:r>
        <w:rPr>
          <w:rFonts w:hint="eastAsia" w:cs="Times New Roman"/>
          <w:bCs/>
          <w:szCs w:val="32"/>
        </w:rPr>
        <w:t>推动</w:t>
      </w:r>
      <w:r>
        <w:rPr>
          <w:rFonts w:cs="Times New Roman"/>
          <w:bCs/>
          <w:szCs w:val="32"/>
        </w:rPr>
        <w:t>国家标准、行业标准和团体标准的制定与推广。</w:t>
      </w:r>
      <w:r>
        <w:rPr>
          <w:rFonts w:hint="eastAsia" w:cs="Times New Roman"/>
          <w:bCs/>
          <w:szCs w:val="32"/>
        </w:rPr>
        <w:t>建设标准管理服务平台，开发标准符合性</w:t>
      </w:r>
      <w:r>
        <w:rPr>
          <w:rFonts w:cs="Times New Roman"/>
          <w:bCs/>
          <w:szCs w:val="32"/>
        </w:rPr>
        <w:t>验证工具</w:t>
      </w:r>
      <w:r>
        <w:rPr>
          <w:rFonts w:hint="eastAsia" w:cs="Times New Roman"/>
          <w:bCs/>
          <w:szCs w:val="32"/>
        </w:rPr>
        <w:t>及</w:t>
      </w:r>
      <w:r>
        <w:rPr>
          <w:rFonts w:cs="Times New Roman"/>
          <w:bCs/>
          <w:szCs w:val="32"/>
        </w:rPr>
        <w:t>解决方案</w:t>
      </w:r>
      <w:r>
        <w:rPr>
          <w:rFonts w:hint="eastAsia" w:cs="Times New Roman"/>
          <w:bCs/>
          <w:szCs w:val="32"/>
        </w:rPr>
        <w:t>，在重点行业、重点区域开展标准宣贯培训。</w:t>
      </w:r>
    </w:p>
    <w:p>
      <w:pPr>
        <w:spacing w:line="600" w:lineRule="exact"/>
        <w:ind w:firstLine="643" w:firstLineChars="200"/>
        <w:rPr>
          <w:rFonts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（三）</w:t>
      </w:r>
      <w:r>
        <w:rPr>
          <w:rFonts w:ascii="楷体_GB2312" w:eastAsia="楷体_GB2312" w:cs="Times New Roman"/>
          <w:b/>
          <w:szCs w:val="32"/>
        </w:rPr>
        <w:t>推动平台标准国际对接</w:t>
      </w:r>
      <w:r>
        <w:rPr>
          <w:rFonts w:hint="eastAsia"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bCs/>
          <w:szCs w:val="32"/>
        </w:rPr>
        <w:t>建立与国际产业</w:t>
      </w:r>
      <w:r>
        <w:rPr>
          <w:rFonts w:cs="Times New Roman"/>
          <w:bCs/>
          <w:szCs w:val="32"/>
        </w:rPr>
        <w:t>联盟、标准化组织</w:t>
      </w:r>
      <w:r>
        <w:rPr>
          <w:rFonts w:hint="eastAsia" w:cs="Times New Roman"/>
          <w:bCs/>
          <w:szCs w:val="32"/>
        </w:rPr>
        <w:t>的对标机制，等同</w:t>
      </w:r>
      <w:r>
        <w:rPr>
          <w:rFonts w:cs="Times New Roman"/>
          <w:bCs/>
          <w:szCs w:val="32"/>
        </w:rPr>
        <w:t>采纳国际标准</w:t>
      </w:r>
      <w:r>
        <w:rPr>
          <w:rFonts w:hint="eastAsia" w:cs="Times New Roman"/>
          <w:bCs/>
          <w:szCs w:val="32"/>
        </w:rPr>
        <w:t>，加快</w:t>
      </w:r>
      <w:r>
        <w:rPr>
          <w:rFonts w:cs="Times New Roman"/>
          <w:bCs/>
          <w:szCs w:val="32"/>
        </w:rPr>
        <w:t>国际标准的国内转化</w:t>
      </w:r>
      <w:r>
        <w:rPr>
          <w:rFonts w:hint="eastAsia" w:cs="Times New Roman"/>
          <w:bCs/>
          <w:szCs w:val="32"/>
        </w:rPr>
        <w:t>。支持</w:t>
      </w:r>
      <w:r>
        <w:rPr>
          <w:rFonts w:cs="Times New Roman"/>
          <w:bCs/>
          <w:szCs w:val="32"/>
        </w:rPr>
        <w:t>标准化机构、</w:t>
      </w:r>
      <w:r>
        <w:rPr>
          <w:rFonts w:hint="eastAsia" w:cs="Times New Roman"/>
          <w:bCs/>
          <w:szCs w:val="32"/>
        </w:rPr>
        <w:t>重点企业主导或实质参与国际标准制定。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培育工业</w:t>
      </w:r>
      <w:r>
        <w:rPr>
          <w:rFonts w:ascii="黑体" w:hAnsi="黑体" w:eastAsia="黑体" w:cs="Times New Roman"/>
          <w:szCs w:val="32"/>
        </w:rPr>
        <w:t>互联网平台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（四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遴选10家左右的跨行业跨领域工业互联网平台。</w:t>
      </w:r>
      <w:r>
        <w:rPr>
          <w:rFonts w:hint="eastAsia" w:cs="Times New Roman"/>
          <w:szCs w:val="32"/>
        </w:rPr>
        <w:t>制定工业互联网平台评价方法，在</w:t>
      </w:r>
      <w:r>
        <w:rPr>
          <w:rFonts w:cs="Times New Roman"/>
          <w:szCs w:val="32"/>
        </w:rPr>
        <w:t>地方普遍发展工业互联网平台的基础上，分期分批</w:t>
      </w:r>
      <w:r>
        <w:rPr>
          <w:rFonts w:hint="eastAsia" w:cs="Times New Roman"/>
          <w:szCs w:val="32"/>
        </w:rPr>
        <w:t>遴选跨行业跨领域平台，加强跟踪评价和动态调整。组织开展工业</w:t>
      </w:r>
      <w:r>
        <w:rPr>
          <w:rFonts w:cs="Times New Roman"/>
          <w:szCs w:val="32"/>
        </w:rPr>
        <w:t>互联网试点示范</w:t>
      </w:r>
      <w:r>
        <w:rPr>
          <w:rFonts w:hint="eastAsia" w:cs="Times New Roman"/>
          <w:szCs w:val="32"/>
        </w:rPr>
        <w:t>（</w:t>
      </w:r>
      <w:r>
        <w:rPr>
          <w:rFonts w:cs="Times New Roman"/>
          <w:szCs w:val="32"/>
        </w:rPr>
        <w:t>平台方向）、</w:t>
      </w:r>
      <w:r>
        <w:rPr>
          <w:rFonts w:hint="eastAsia" w:cs="Times New Roman"/>
          <w:szCs w:val="32"/>
        </w:rPr>
        <w:t>应用现场会，推动平台在重点行业和区域落地，支持跨行业跨领域平台拓展国际市场。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（五）发展一批面向特定</w:t>
      </w:r>
      <w:r>
        <w:rPr>
          <w:rFonts w:ascii="楷体_GB2312" w:eastAsia="楷体_GB2312" w:cs="Times New Roman"/>
          <w:b/>
          <w:szCs w:val="32"/>
        </w:rPr>
        <w:t>行业</w:t>
      </w:r>
      <w:r>
        <w:rPr>
          <w:rFonts w:hint="eastAsia" w:ascii="楷体_GB2312" w:eastAsia="楷体_GB2312" w:cs="Times New Roman"/>
          <w:b/>
          <w:szCs w:val="32"/>
        </w:rPr>
        <w:t>、</w:t>
      </w:r>
      <w:r>
        <w:rPr>
          <w:rFonts w:ascii="楷体_GB2312" w:eastAsia="楷体_GB2312" w:cs="Times New Roman"/>
          <w:b/>
          <w:szCs w:val="32"/>
        </w:rPr>
        <w:t>特定区域</w:t>
      </w:r>
      <w:r>
        <w:rPr>
          <w:rFonts w:hint="eastAsia" w:ascii="楷体_GB2312" w:eastAsia="楷体_GB2312" w:cs="Times New Roman"/>
          <w:b/>
          <w:szCs w:val="32"/>
        </w:rPr>
        <w:t>的企业级工业互联网平台。</w:t>
      </w:r>
      <w:r>
        <w:rPr>
          <w:rFonts w:hint="eastAsia" w:cs="Times New Roman"/>
          <w:szCs w:val="32"/>
        </w:rPr>
        <w:t>制定工业互联网平台服务能力规范，支持协会联盟等开展平台能力成熟度评价，发布重点行业工业互联网平台推荐名录。鼓励地方建设工业互联网平台省级制造业创新中心，推动平台在</w:t>
      </w:r>
      <w:r>
        <w:rPr>
          <w:rFonts w:cs="Times New Roman"/>
          <w:szCs w:val="32"/>
        </w:rPr>
        <w:t>“</w:t>
      </w:r>
      <w:r>
        <w:rPr>
          <w:rFonts w:hint="eastAsia" w:cs="Times New Roman"/>
          <w:szCs w:val="32"/>
        </w:rPr>
        <w:t>块状经济</w:t>
      </w:r>
      <w:r>
        <w:rPr>
          <w:rFonts w:cs="Times New Roman"/>
          <w:szCs w:val="32"/>
        </w:rPr>
        <w:t>”</w:t>
      </w:r>
      <w:r>
        <w:rPr>
          <w:rFonts w:hint="eastAsia" w:cs="Times New Roman"/>
        </w:rPr>
        <w:t>产业</w:t>
      </w:r>
      <w:r>
        <w:rPr>
          <w:rFonts w:hint="eastAsia" w:cs="Times New Roman"/>
          <w:szCs w:val="32"/>
        </w:rPr>
        <w:t>集聚区落地。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（六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提升</w:t>
      </w:r>
      <w:r>
        <w:rPr>
          <w:rFonts w:ascii="楷体_GB2312" w:eastAsia="楷体_GB2312" w:cs="Times New Roman"/>
          <w:b/>
          <w:szCs w:val="32"/>
        </w:rPr>
        <w:t>工业互联网平台</w:t>
      </w:r>
      <w:r>
        <w:rPr>
          <w:rFonts w:hint="eastAsia" w:ascii="楷体_GB2312" w:eastAsia="楷体_GB2312" w:cs="Times New Roman"/>
          <w:b/>
          <w:szCs w:val="32"/>
        </w:rPr>
        <w:t>设备管理</w:t>
      </w:r>
      <w:r>
        <w:rPr>
          <w:rFonts w:ascii="楷体_GB2312" w:eastAsia="楷体_GB2312" w:cs="Times New Roman"/>
          <w:b/>
          <w:szCs w:val="32"/>
        </w:rPr>
        <w:t>能力</w:t>
      </w:r>
      <w:r>
        <w:rPr>
          <w:rFonts w:hint="eastAsia"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szCs w:val="32"/>
        </w:rPr>
        <w:t>支持建设工业设备协议开放开源社区，引导设备厂商、自动化企业开放设备协议、数据格式、通信接口等源代码，</w:t>
      </w:r>
      <w:r>
        <w:rPr>
          <w:rFonts w:hint="eastAsia" w:ascii="Calibri" w:hAnsi="Calibri" w:eastAsia="宋体"/>
          <w:sz w:val="21"/>
        </w:rPr>
        <w:t xml:space="preserve"> </w:t>
      </w:r>
      <w:r>
        <w:rPr>
          <w:rFonts w:hint="eastAsia" w:cs="Times New Roman"/>
          <w:szCs w:val="32"/>
        </w:rPr>
        <w:t>形成工业设备数据采集案例库和工具箱</w:t>
      </w:r>
      <w:r>
        <w:rPr>
          <w:rFonts w:cs="Times New Roman"/>
          <w:szCs w:val="32"/>
        </w:rPr>
        <w:t>。</w:t>
      </w:r>
      <w:r>
        <w:rPr>
          <w:rFonts w:hint="eastAsia" w:cs="Times New Roman"/>
          <w:szCs w:val="32"/>
        </w:rPr>
        <w:t>组织开展边缘计算技术测试与应用验证，推动基于工业现场数据的实时智能分析与</w:t>
      </w:r>
      <w:r>
        <w:rPr>
          <w:rFonts w:cs="Times New Roman"/>
          <w:szCs w:val="32"/>
        </w:rPr>
        <w:t>优化</w:t>
      </w:r>
      <w:r>
        <w:rPr>
          <w:rFonts w:hint="eastAsia" w:cs="Times New Roman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 w:cs="Times New Roman"/>
          <w:b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（七）加速工业机理模型开发与平台</w:t>
      </w:r>
      <w:r>
        <w:rPr>
          <w:rFonts w:ascii="楷体_GB2312" w:eastAsia="楷体_GB2312" w:cs="Times New Roman"/>
          <w:b/>
          <w:szCs w:val="32"/>
        </w:rPr>
        <w:t>部署。</w:t>
      </w:r>
      <w:r>
        <w:rPr>
          <w:rFonts w:hint="eastAsia" w:cs="Times New Roman"/>
          <w:szCs w:val="32"/>
        </w:rPr>
        <w:t>鼓励平台整合高校、科研院所等各方资源，推动重点行业基础共性技术的模型化、组件化、软件化与开放共享，促进基于</w:t>
      </w:r>
      <w:r>
        <w:rPr>
          <w:rFonts w:cs="Times New Roman"/>
          <w:szCs w:val="32"/>
        </w:rPr>
        <w:t>工业互联网平台的</w:t>
      </w:r>
      <w:r>
        <w:rPr>
          <w:rFonts w:hint="eastAsia" w:cs="Times New Roman"/>
          <w:szCs w:val="32"/>
        </w:rPr>
        <w:t>工业知识沉淀、传播、复用与价值创造。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（八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强化</w:t>
      </w:r>
      <w:r>
        <w:rPr>
          <w:rFonts w:ascii="楷体_GB2312" w:eastAsia="楷体_GB2312" w:cs="Times New Roman"/>
          <w:b/>
          <w:szCs w:val="32"/>
        </w:rPr>
        <w:t>工业互联网</w:t>
      </w:r>
      <w:r>
        <w:rPr>
          <w:rFonts w:hint="eastAsia" w:ascii="楷体_GB2312" w:eastAsia="楷体_GB2312" w:cs="Times New Roman"/>
          <w:b/>
          <w:szCs w:val="32"/>
        </w:rPr>
        <w:t>平台</w:t>
      </w:r>
      <w:r>
        <w:rPr>
          <w:rFonts w:ascii="楷体_GB2312" w:eastAsia="楷体_GB2312" w:cs="Times New Roman"/>
          <w:b/>
          <w:szCs w:val="32"/>
        </w:rPr>
        <w:t>应用开发</w:t>
      </w:r>
      <w:r>
        <w:rPr>
          <w:rFonts w:hint="eastAsia" w:ascii="楷体_GB2312" w:eastAsia="楷体_GB2312" w:cs="Times New Roman"/>
          <w:b/>
          <w:szCs w:val="32"/>
        </w:rPr>
        <w:t>能力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ascii="仿宋_GB2312" w:hAnsi="仿宋"/>
          <w:color w:val="000000"/>
          <w:szCs w:val="32"/>
        </w:rPr>
        <w:t>支持平台建设多类开发语言、建模工具、图形化编程环境，开发平台化</w:t>
      </w:r>
      <w:r>
        <w:rPr>
          <w:rFonts w:hint="eastAsia" w:cs="Times New Roman"/>
          <w:szCs w:val="32"/>
        </w:rPr>
        <w:t>、组件化的行业解决方案软件包，推动面向场景的多功能、高灵活、预集成平台方案应用部署。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（九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打造面向</w:t>
      </w:r>
      <w:r>
        <w:rPr>
          <w:rFonts w:ascii="楷体_GB2312" w:eastAsia="楷体_GB2312" w:cs="Times New Roman"/>
          <w:b/>
          <w:szCs w:val="32"/>
        </w:rPr>
        <w:t>工业场景的</w:t>
      </w:r>
      <w:r>
        <w:rPr>
          <w:rFonts w:hint="eastAsia" w:ascii="楷体_GB2312" w:eastAsia="楷体_GB2312" w:cs="Times New Roman"/>
          <w:b/>
          <w:szCs w:val="32"/>
        </w:rPr>
        <w:t>海量</w:t>
      </w:r>
      <w:r>
        <w:rPr>
          <w:rFonts w:ascii="楷体_GB2312" w:eastAsia="楷体_GB2312" w:cs="Times New Roman"/>
          <w:b/>
          <w:szCs w:val="32"/>
        </w:rPr>
        <w:t>工业AP</w:t>
      </w:r>
      <w:r>
        <w:rPr>
          <w:rFonts w:hint="eastAsia" w:ascii="楷体_GB2312" w:eastAsia="楷体_GB2312" w:cs="Times New Roman"/>
          <w:b/>
          <w:szCs w:val="32"/>
        </w:rPr>
        <w:t>P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szCs w:val="32"/>
        </w:rPr>
        <w:t>组织研制工业</w:t>
      </w:r>
      <w:r>
        <w:rPr>
          <w:rFonts w:cs="Times New Roman"/>
          <w:szCs w:val="32"/>
        </w:rPr>
        <w:t>APP</w:t>
      </w:r>
      <w:r>
        <w:rPr>
          <w:rFonts w:hint="eastAsia" w:cs="Times New Roman"/>
          <w:szCs w:val="32"/>
        </w:rPr>
        <w:t>参考架构、通用术语、分类准则等标准。编制和滚动修订基础共性</w:t>
      </w:r>
      <w:r>
        <w:rPr>
          <w:rFonts w:cs="Times New Roman"/>
          <w:szCs w:val="32"/>
        </w:rPr>
        <w:t>工业APP需求目录，</w:t>
      </w:r>
      <w:r>
        <w:rPr>
          <w:rFonts w:hint="eastAsia" w:cs="Times New Roman"/>
          <w:szCs w:val="32"/>
        </w:rPr>
        <w:t>支持平台联合各方建设基础共性和行业通用工业</w:t>
      </w:r>
      <w:r>
        <w:rPr>
          <w:rFonts w:cs="Times New Roman"/>
          <w:szCs w:val="32"/>
        </w:rPr>
        <w:t>APP</w:t>
      </w:r>
      <w:r>
        <w:rPr>
          <w:rFonts w:hint="eastAsia" w:cs="Times New Roman"/>
          <w:szCs w:val="32"/>
        </w:rPr>
        <w:t>及微服务资源池。鼓励第三方</w:t>
      </w:r>
      <w:r>
        <w:rPr>
          <w:rFonts w:cs="Times New Roman"/>
          <w:szCs w:val="32"/>
        </w:rPr>
        <w:t>建设</w:t>
      </w:r>
      <w:r>
        <w:rPr>
          <w:rFonts w:hint="eastAsia" w:cs="Times New Roman"/>
          <w:szCs w:val="32"/>
        </w:rPr>
        <w:t>工业APP研发协同平台和交易平台，推动工业</w:t>
      </w:r>
      <w:r>
        <w:rPr>
          <w:rFonts w:cs="Times New Roman"/>
          <w:szCs w:val="32"/>
        </w:rPr>
        <w:t>APP</w:t>
      </w:r>
      <w:r>
        <w:rPr>
          <w:rFonts w:hint="eastAsia" w:cs="Times New Roman"/>
          <w:szCs w:val="32"/>
        </w:rPr>
        <w:t>交易。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  <w:lang w:eastAsia="zh-CN"/>
        </w:rPr>
        <w:t>四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推广工业</w:t>
      </w:r>
      <w:r>
        <w:rPr>
          <w:rFonts w:ascii="黑体" w:hAnsi="黑体" w:eastAsia="黑体" w:cs="Times New Roman"/>
          <w:szCs w:val="32"/>
        </w:rPr>
        <w:t>互联网平台</w:t>
      </w:r>
    </w:p>
    <w:p>
      <w:pPr>
        <w:spacing w:line="600" w:lineRule="exact"/>
        <w:ind w:firstLine="643" w:firstLineChars="200"/>
        <w:rPr>
          <w:rFonts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实施工业设备上云“领跑者”计划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szCs w:val="32"/>
        </w:rPr>
        <w:t>制定分行业、分领域重点工业设备数据云端迁移指南</w:t>
      </w:r>
      <w:r>
        <w:rPr>
          <w:rFonts w:hint="eastAsia" w:cs="Times New Roman"/>
          <w:bCs/>
          <w:szCs w:val="32"/>
        </w:rPr>
        <w:t>，推动工业</w:t>
      </w:r>
      <w:r>
        <w:rPr>
          <w:rFonts w:cs="Times New Roman"/>
          <w:bCs/>
          <w:szCs w:val="32"/>
        </w:rPr>
        <w:t>窑炉、工业锅炉、</w:t>
      </w:r>
      <w:r>
        <w:rPr>
          <w:rFonts w:hint="eastAsia" w:cs="Times New Roman"/>
          <w:bCs/>
          <w:szCs w:val="32"/>
        </w:rPr>
        <w:t>石油化工</w:t>
      </w:r>
      <w:r>
        <w:rPr>
          <w:rFonts w:cs="Times New Roman"/>
          <w:bCs/>
          <w:szCs w:val="32"/>
        </w:rPr>
        <w:t>设备等</w:t>
      </w:r>
      <w:r>
        <w:rPr>
          <w:rFonts w:hint="eastAsia" w:cs="Times New Roman"/>
          <w:bCs/>
          <w:szCs w:val="32"/>
        </w:rPr>
        <w:t>高耗能流程</w:t>
      </w:r>
      <w:r>
        <w:rPr>
          <w:rFonts w:cs="Times New Roman"/>
          <w:bCs/>
          <w:szCs w:val="32"/>
        </w:rPr>
        <w:t>行业</w:t>
      </w:r>
      <w:r>
        <w:rPr>
          <w:rFonts w:hint="eastAsia" w:cs="Times New Roman"/>
          <w:bCs/>
          <w:szCs w:val="32"/>
        </w:rPr>
        <w:t>设备</w:t>
      </w:r>
      <w:r>
        <w:rPr>
          <w:rFonts w:cs="Times New Roman"/>
          <w:bCs/>
          <w:szCs w:val="32"/>
        </w:rPr>
        <w:t>，</w:t>
      </w:r>
      <w:r>
        <w:rPr>
          <w:rFonts w:hint="eastAsia" w:cs="Times New Roman"/>
          <w:bCs/>
          <w:szCs w:val="32"/>
        </w:rPr>
        <w:t>柴油</w:t>
      </w:r>
      <w:r>
        <w:rPr>
          <w:rFonts w:cs="Times New Roman"/>
          <w:bCs/>
          <w:szCs w:val="32"/>
        </w:rPr>
        <w:t>发动机、</w:t>
      </w:r>
      <w:r>
        <w:rPr>
          <w:rFonts w:hint="eastAsia" w:cs="Times New Roman"/>
          <w:bCs/>
          <w:szCs w:val="32"/>
        </w:rPr>
        <w:t>大中型电机</w:t>
      </w:r>
      <w:r>
        <w:rPr>
          <w:rFonts w:cs="Times New Roman"/>
          <w:bCs/>
          <w:szCs w:val="32"/>
        </w:rPr>
        <w:t>、大型空压机等通用动力设备，</w:t>
      </w:r>
      <w:r>
        <w:rPr>
          <w:rFonts w:hint="eastAsia" w:cs="Times New Roman"/>
          <w:bCs/>
          <w:szCs w:val="32"/>
        </w:rPr>
        <w:t>风电</w:t>
      </w:r>
      <w:r>
        <w:rPr>
          <w:rFonts w:cs="Times New Roman"/>
          <w:bCs/>
          <w:szCs w:val="32"/>
        </w:rPr>
        <w:t>、光伏等新能源设备</w:t>
      </w:r>
      <w:r>
        <w:rPr>
          <w:rFonts w:hint="eastAsia" w:cs="Times New Roman"/>
          <w:bCs/>
          <w:szCs w:val="32"/>
        </w:rPr>
        <w:t>，</w:t>
      </w:r>
      <w:r>
        <w:rPr>
          <w:rFonts w:cs="Times New Roman"/>
          <w:bCs/>
          <w:szCs w:val="32"/>
        </w:rPr>
        <w:t>工程机械、数控机床等智能化设备</w:t>
      </w:r>
      <w:r>
        <w:rPr>
          <w:rFonts w:hint="eastAsia" w:cs="Times New Roman"/>
          <w:bCs/>
          <w:szCs w:val="32"/>
        </w:rPr>
        <w:t>上云用云，提高设备运行效率和可靠性，降低资源能源消耗和维修成本。鼓励平台在线发布核心设备运行绩效榜单和最佳工艺方案，引导企业通过对标优化设备运行管理能力。</w:t>
      </w:r>
    </w:p>
    <w:p>
      <w:pPr>
        <w:spacing w:line="600" w:lineRule="exact"/>
        <w:ind w:firstLine="643" w:firstLineChars="200"/>
        <w:rPr>
          <w:rFonts w:ascii="仿宋_GB2312"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（十一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推动</w:t>
      </w:r>
      <w:r>
        <w:rPr>
          <w:rFonts w:ascii="楷体_GB2312" w:eastAsia="楷体_GB2312" w:cs="Times New Roman"/>
          <w:b/>
          <w:szCs w:val="32"/>
        </w:rPr>
        <w:t>企业业务系统上云。</w:t>
      </w:r>
      <w:r>
        <w:rPr>
          <w:rFonts w:hint="eastAsia" w:cs="Times New Roman"/>
          <w:bCs/>
          <w:szCs w:val="32"/>
        </w:rPr>
        <w:t>鼓励龙头企业面向行业开放共享业务系统，带动产业链上下游企业</w:t>
      </w:r>
      <w:r>
        <w:rPr>
          <w:rFonts w:cs="Times New Roman"/>
          <w:bCs/>
          <w:szCs w:val="32"/>
        </w:rPr>
        <w:t>开展协同设计和协同供应链管理。</w:t>
      </w:r>
      <w:r>
        <w:rPr>
          <w:rFonts w:hint="eastAsia" w:cs="Times New Roman"/>
          <w:bCs/>
          <w:szCs w:val="32"/>
        </w:rPr>
        <w:t>鼓励</w:t>
      </w:r>
      <w:r>
        <w:rPr>
          <w:rFonts w:cs="Times New Roman"/>
          <w:bCs/>
          <w:szCs w:val="32"/>
        </w:rPr>
        <w:t>地方</w:t>
      </w:r>
      <w:r>
        <w:rPr>
          <w:rFonts w:hint="eastAsia" w:cs="Times New Roman"/>
          <w:bCs/>
          <w:szCs w:val="32"/>
        </w:rPr>
        <w:t>通过创新券、服务券等方式加大企业上云支持力度，</w:t>
      </w:r>
      <w:r>
        <w:rPr>
          <w:rFonts w:hint="eastAsia" w:ascii="仿宋_GB2312" w:cs="Times New Roman"/>
          <w:bCs/>
          <w:szCs w:val="32"/>
        </w:rPr>
        <w:t>发挥中小企业公共服务平台、小型微型企业创业创新基地作用，降低</w:t>
      </w:r>
      <w:r>
        <w:rPr>
          <w:rFonts w:ascii="仿宋_GB2312" w:cs="Times New Roman"/>
          <w:bCs/>
          <w:szCs w:val="32"/>
        </w:rPr>
        <w:t>中小企业</w:t>
      </w:r>
      <w:r>
        <w:rPr>
          <w:rFonts w:hint="eastAsia" w:ascii="仿宋_GB2312" w:cs="Times New Roman"/>
          <w:bCs/>
          <w:szCs w:val="32"/>
        </w:rPr>
        <w:t>平台</w:t>
      </w:r>
      <w:r>
        <w:rPr>
          <w:rFonts w:ascii="仿宋_GB2312" w:cs="Times New Roman"/>
          <w:bCs/>
          <w:szCs w:val="32"/>
        </w:rPr>
        <w:t>应用</w:t>
      </w:r>
      <w:r>
        <w:rPr>
          <w:rFonts w:hint="eastAsia" w:ascii="仿宋_GB2312" w:cs="Times New Roman"/>
          <w:bCs/>
          <w:szCs w:val="32"/>
        </w:rPr>
        <w:t>门槛。</w:t>
      </w:r>
    </w:p>
    <w:p>
      <w:pPr>
        <w:spacing w:line="600" w:lineRule="exact"/>
        <w:ind w:firstLine="643" w:firstLineChars="200"/>
        <w:rPr>
          <w:rFonts w:cs="Times New Roman"/>
          <w:szCs w:val="36"/>
        </w:rPr>
      </w:pPr>
      <w:r>
        <w:rPr>
          <w:rFonts w:hint="eastAsia" w:ascii="楷体_GB2312" w:eastAsia="楷体_GB2312" w:cs="Times New Roman"/>
          <w:b/>
          <w:szCs w:val="32"/>
        </w:rPr>
        <w:t>（十二）培育工业互联网平台应用新模式。</w:t>
      </w:r>
      <w:r>
        <w:rPr>
          <w:rFonts w:hint="eastAsia" w:cs="Times New Roman"/>
          <w:szCs w:val="36"/>
        </w:rPr>
        <w:t>组织开展工业互联网试点示范</w:t>
      </w:r>
      <w:r>
        <w:rPr>
          <w:rFonts w:cs="Times New Roman"/>
          <w:szCs w:val="36"/>
        </w:rPr>
        <w:t>（平台方向）</w:t>
      </w:r>
      <w:r>
        <w:rPr>
          <w:rFonts w:hint="eastAsia" w:cs="Times New Roman"/>
          <w:szCs w:val="36"/>
        </w:rPr>
        <w:t>，培育协同设计、协同供应链管理、产品全生命周期管理、供应链金融等平台应用新模式。组织制定工业互联网平台应用指南，明确平台应用的咨询、实施、评估、培训、采信等全流程方法体系。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  <w:lang w:eastAsia="zh-CN"/>
        </w:rPr>
        <w:t>五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建设</w:t>
      </w:r>
      <w:r>
        <w:rPr>
          <w:rFonts w:ascii="黑体" w:hAnsi="黑体" w:eastAsia="黑体" w:cs="Times New Roman"/>
          <w:szCs w:val="32"/>
        </w:rPr>
        <w:t>工业互联网</w:t>
      </w:r>
      <w:r>
        <w:rPr>
          <w:rFonts w:hint="eastAsia" w:ascii="黑体" w:hAnsi="黑体" w:eastAsia="黑体" w:cs="Times New Roman"/>
          <w:szCs w:val="32"/>
        </w:rPr>
        <w:t>平台</w:t>
      </w:r>
      <w:r>
        <w:rPr>
          <w:rFonts w:ascii="黑体" w:hAnsi="黑体" w:eastAsia="黑体" w:cs="Times New Roman"/>
          <w:szCs w:val="32"/>
        </w:rPr>
        <w:t>生态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（十三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建设工业互联网平台</w:t>
      </w:r>
      <w:r>
        <w:rPr>
          <w:rFonts w:ascii="楷体_GB2312" w:eastAsia="楷体_GB2312" w:cs="Times New Roman"/>
          <w:b/>
          <w:szCs w:val="32"/>
        </w:rPr>
        <w:t>试验测试</w:t>
      </w:r>
      <w:r>
        <w:rPr>
          <w:rFonts w:hint="eastAsia" w:ascii="楷体_GB2312" w:eastAsia="楷体_GB2312" w:cs="Times New Roman"/>
          <w:b/>
          <w:szCs w:val="32"/>
        </w:rPr>
        <w:t>体系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szCs w:val="32"/>
        </w:rPr>
        <w:t>以测带建、以测促用，支持建设一批面向跨行业跨领域、特定区域和特定行业的试验测试环境，以及一批面向特定场景的测试床，开展</w:t>
      </w:r>
      <w:r>
        <w:rPr>
          <w:rFonts w:hint="eastAsia" w:cs="Times New Roman"/>
          <w:szCs w:val="36"/>
        </w:rPr>
        <w:t>技术成熟度、功能完整性、协议兼容性、数据安全性等试验测试。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（十四</w:t>
      </w:r>
      <w:r>
        <w:rPr>
          <w:rFonts w:ascii="楷体_GB2312" w:eastAsia="楷体_GB2312" w:cs="Times New Roman"/>
          <w:b/>
          <w:szCs w:val="32"/>
        </w:rPr>
        <w:t>）建设</w:t>
      </w:r>
      <w:r>
        <w:rPr>
          <w:rFonts w:hint="eastAsia" w:ascii="楷体_GB2312" w:eastAsia="楷体_GB2312" w:cs="Times New Roman"/>
          <w:b/>
          <w:szCs w:val="32"/>
        </w:rPr>
        <w:t>工业</w:t>
      </w:r>
      <w:r>
        <w:rPr>
          <w:rFonts w:ascii="楷体_GB2312" w:eastAsia="楷体_GB2312" w:cs="Times New Roman"/>
          <w:b/>
          <w:szCs w:val="32"/>
        </w:rPr>
        <w:t>互联网</w:t>
      </w:r>
      <w:r>
        <w:rPr>
          <w:rFonts w:hint="eastAsia" w:ascii="楷体_GB2312" w:eastAsia="楷体_GB2312" w:cs="Times New Roman"/>
          <w:b/>
          <w:szCs w:val="32"/>
        </w:rPr>
        <w:t>平台</w:t>
      </w:r>
      <w:r>
        <w:rPr>
          <w:rFonts w:ascii="楷体_GB2312" w:eastAsia="楷体_GB2312" w:cs="Times New Roman"/>
          <w:b/>
          <w:szCs w:val="32"/>
        </w:rPr>
        <w:t>开发者社区。</w:t>
      </w:r>
      <w:r>
        <w:rPr>
          <w:rFonts w:hint="eastAsia" w:cs="Times New Roman"/>
          <w:szCs w:val="32"/>
        </w:rPr>
        <w:t>支持协会联盟联合跨行业跨领域平台建设开发者社区，推动平台开放开发工具、知识组件、算法组件等工具包（SDK）和应用程序编程接口（API），构建工业APP开发生态。指导开发者社区建立人才培训、认证、评价体系，组织开展开发者创业创新大赛，加快工业APP开发者人才队伍建设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</w:t>
      </w:r>
      <w:r>
        <w:rPr>
          <w:rFonts w:ascii="楷体_GB2312" w:eastAsia="楷体_GB2312" w:cs="Times New Roman"/>
          <w:b/>
          <w:szCs w:val="32"/>
        </w:rPr>
        <w:t>五）</w:t>
      </w:r>
      <w:r>
        <w:rPr>
          <w:rFonts w:hint="eastAsia" w:ascii="楷体_GB2312" w:eastAsia="楷体_GB2312" w:cs="Times New Roman"/>
          <w:b/>
          <w:szCs w:val="32"/>
        </w:rPr>
        <w:t>建设工业</w:t>
      </w:r>
      <w:r>
        <w:rPr>
          <w:rFonts w:ascii="楷体_GB2312" w:eastAsia="楷体_GB2312" w:cs="Times New Roman"/>
          <w:b/>
          <w:szCs w:val="32"/>
        </w:rPr>
        <w:t>互联网平台新型服务体系。</w:t>
      </w:r>
      <w:r>
        <w:rPr>
          <w:rFonts w:hint="eastAsia" w:cs="Times New Roman"/>
          <w:bCs/>
          <w:szCs w:val="32"/>
        </w:rPr>
        <w:t>探索基于平台的知识产权激励和保护机制，创建工业互联网平台知识交易环境。构建基于平台的制造业新型认证服务体系，推动建立线上企业资质、产品质量和服务能力认证新体系。建设</w:t>
      </w:r>
      <w:r>
        <w:rPr>
          <w:rFonts w:cs="Times New Roman"/>
          <w:bCs/>
          <w:szCs w:val="32"/>
        </w:rPr>
        <w:t>工业互联网平台</w:t>
      </w:r>
      <w:r>
        <w:rPr>
          <w:rFonts w:hint="eastAsia" w:cs="Times New Roman"/>
          <w:bCs/>
          <w:szCs w:val="32"/>
        </w:rPr>
        <w:t>基础</w:t>
      </w:r>
      <w:r>
        <w:rPr>
          <w:rFonts w:cs="Times New Roman"/>
          <w:bCs/>
          <w:szCs w:val="32"/>
        </w:rPr>
        <w:t>及创新技术服务平台，推动资源库建设</w:t>
      </w:r>
      <w:r>
        <w:rPr>
          <w:rFonts w:hint="eastAsia" w:cs="Times New Roman"/>
          <w:bCs/>
          <w:szCs w:val="32"/>
        </w:rPr>
        <w:t>与技术</w:t>
      </w:r>
      <w:r>
        <w:rPr>
          <w:rFonts w:cs="Times New Roman"/>
          <w:bCs/>
          <w:szCs w:val="32"/>
        </w:rPr>
        <w:t>成果交易。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  <w:lang w:eastAsia="zh-CN"/>
        </w:rPr>
        <w:t>六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加强</w:t>
      </w:r>
      <w:r>
        <w:rPr>
          <w:rFonts w:ascii="黑体" w:hAnsi="黑体" w:eastAsia="黑体" w:cs="Times New Roman"/>
          <w:szCs w:val="32"/>
        </w:rPr>
        <w:t>工业互联网平台</w:t>
      </w:r>
      <w:r>
        <w:rPr>
          <w:rFonts w:hint="eastAsia" w:ascii="黑体" w:hAnsi="黑体" w:eastAsia="黑体" w:cs="Times New Roman"/>
          <w:szCs w:val="32"/>
        </w:rPr>
        <w:t>管理</w:t>
      </w:r>
    </w:p>
    <w:p>
      <w:pPr>
        <w:spacing w:line="600" w:lineRule="exact"/>
        <w:ind w:firstLine="643" w:firstLineChars="200"/>
        <w:rPr>
          <w:rFonts w:cs="Times New Roman"/>
        </w:rPr>
      </w:pPr>
      <w:bookmarkStart w:id="1" w:name="_GoBack"/>
      <w:bookmarkEnd w:id="1"/>
      <w:r>
        <w:rPr>
          <w:rFonts w:hint="eastAsia" w:ascii="楷体_GB2312" w:eastAsia="楷体_GB2312" w:cs="Times New Roman"/>
          <w:b/>
          <w:szCs w:val="32"/>
        </w:rPr>
        <w:t>（十六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推动</w:t>
      </w:r>
      <w:r>
        <w:rPr>
          <w:rFonts w:ascii="楷体_GB2312" w:eastAsia="楷体_GB2312" w:cs="Times New Roman"/>
          <w:b/>
          <w:szCs w:val="32"/>
        </w:rPr>
        <w:t>平台间</w:t>
      </w:r>
      <w:r>
        <w:rPr>
          <w:rFonts w:hint="eastAsia" w:ascii="楷体_GB2312" w:eastAsia="楷体_GB2312" w:cs="Times New Roman"/>
          <w:b/>
          <w:szCs w:val="32"/>
        </w:rPr>
        <w:t>数据</w:t>
      </w:r>
      <w:r>
        <w:rPr>
          <w:rFonts w:ascii="楷体_GB2312" w:eastAsia="楷体_GB2312" w:cs="Times New Roman"/>
          <w:b/>
          <w:szCs w:val="32"/>
        </w:rPr>
        <w:t>与服务</w:t>
      </w:r>
      <w:r>
        <w:rPr>
          <w:rFonts w:hint="eastAsia" w:ascii="楷体_GB2312" w:eastAsia="楷体_GB2312" w:cs="Times New Roman"/>
          <w:b/>
          <w:szCs w:val="32"/>
        </w:rPr>
        <w:t>互联互通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cs="Times New Roman"/>
        </w:rPr>
        <w:t>制定工业互联网平台互联互通规范，构建公平、有序、开放的平台发展环境。制定发布工业互联网平台数据迁移行业准则，实现不同平台间工业数据的自由传输迁移。支持协会联盟制定软件跨平台调用标准，推动工业模型、微服务组件、工业</w:t>
      </w:r>
      <w:r>
        <w:rPr>
          <w:rFonts w:cs="Times New Roman"/>
        </w:rPr>
        <w:t>APP</w:t>
      </w:r>
      <w:r>
        <w:rPr>
          <w:rFonts w:hint="eastAsia" w:cs="Times New Roman"/>
        </w:rPr>
        <w:t>在不同平台间可部署、可调用、可订阅。</w:t>
      </w:r>
    </w:p>
    <w:p>
      <w:pPr>
        <w:spacing w:line="600" w:lineRule="exact"/>
        <w:ind w:firstLine="643" w:firstLineChars="200"/>
        <w:rPr>
          <w:rFonts w:cs="Times New Roman"/>
          <w:bCs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（十七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开展</w:t>
      </w:r>
      <w:r>
        <w:rPr>
          <w:rFonts w:ascii="楷体_GB2312" w:eastAsia="楷体_GB2312" w:cs="Times New Roman"/>
          <w:b/>
          <w:szCs w:val="32"/>
        </w:rPr>
        <w:t>平台</w:t>
      </w:r>
      <w:r>
        <w:rPr>
          <w:rFonts w:hint="eastAsia" w:ascii="楷体_GB2312" w:eastAsia="楷体_GB2312" w:cs="Times New Roman"/>
          <w:b/>
          <w:szCs w:val="32"/>
        </w:rPr>
        <w:t>运营分析与动态监测</w:t>
      </w:r>
      <w:r>
        <w:rPr>
          <w:rFonts w:ascii="楷体_GB2312" w:eastAsia="楷体_GB2312" w:cs="Times New Roman"/>
          <w:b/>
          <w:szCs w:val="32"/>
        </w:rPr>
        <w:t>。</w:t>
      </w:r>
      <w:r>
        <w:rPr>
          <w:rFonts w:hint="eastAsia" w:cs="Times New Roman"/>
          <w:bCs/>
          <w:szCs w:val="32"/>
        </w:rPr>
        <w:t>搭建监测分析</w:t>
      </w:r>
      <w:r>
        <w:rPr>
          <w:rFonts w:cs="Times New Roman"/>
          <w:bCs/>
          <w:szCs w:val="32"/>
        </w:rPr>
        <w:t>服务</w:t>
      </w:r>
      <w:r>
        <w:rPr>
          <w:rFonts w:hint="eastAsia" w:cs="Times New Roman"/>
          <w:bCs/>
          <w:szCs w:val="32"/>
        </w:rPr>
        <w:t>平台，加强与工业互联网平台运营数据共享，实时、动态监测工业互联网平台发展情况。发布工业</w:t>
      </w:r>
      <w:r>
        <w:rPr>
          <w:rFonts w:cs="Times New Roman"/>
          <w:bCs/>
          <w:szCs w:val="32"/>
        </w:rPr>
        <w:t>APP</w:t>
      </w:r>
      <w:r>
        <w:rPr>
          <w:rFonts w:hint="eastAsia" w:cs="Times New Roman"/>
          <w:bCs/>
          <w:szCs w:val="32"/>
        </w:rPr>
        <w:t>订阅榜</w:t>
      </w:r>
      <w:r>
        <w:rPr>
          <w:rFonts w:cs="Times New Roman"/>
          <w:bCs/>
          <w:szCs w:val="32"/>
        </w:rPr>
        <w:t>、</w:t>
      </w:r>
      <w:r>
        <w:rPr>
          <w:rFonts w:hint="eastAsia" w:cs="Times New Roman"/>
          <w:bCs/>
          <w:szCs w:val="32"/>
        </w:rPr>
        <w:t>平台用户地图</w:t>
      </w:r>
      <w:r>
        <w:rPr>
          <w:rFonts w:cs="Times New Roman"/>
          <w:bCs/>
          <w:szCs w:val="32"/>
        </w:rPr>
        <w:t>等</w:t>
      </w:r>
      <w:r>
        <w:rPr>
          <w:rFonts w:hint="eastAsia" w:cs="Times New Roman"/>
          <w:bCs/>
          <w:szCs w:val="32"/>
        </w:rPr>
        <w:t>榜单</w:t>
      </w:r>
      <w:r>
        <w:rPr>
          <w:rFonts w:cs="Times New Roman"/>
          <w:bCs/>
          <w:szCs w:val="32"/>
        </w:rPr>
        <w:t>，</w:t>
      </w:r>
      <w:r>
        <w:rPr>
          <w:rFonts w:hint="eastAsia" w:cs="Times New Roman"/>
          <w:bCs/>
          <w:szCs w:val="32"/>
        </w:rPr>
        <w:t>开发</w:t>
      </w:r>
      <w:r>
        <w:rPr>
          <w:rFonts w:cs="Times New Roman"/>
          <w:bCs/>
          <w:szCs w:val="32"/>
        </w:rPr>
        <w:t>细分行业产能分布数字地图。</w:t>
      </w:r>
      <w:r>
        <w:rPr>
          <w:rFonts w:hint="eastAsia" w:cs="Times New Roman"/>
          <w:bCs/>
          <w:szCs w:val="32"/>
        </w:rPr>
        <w:t>加强</w:t>
      </w:r>
      <w:r>
        <w:rPr>
          <w:rFonts w:cs="Times New Roman"/>
          <w:bCs/>
          <w:szCs w:val="32"/>
        </w:rPr>
        <w:t>工业</w:t>
      </w:r>
      <w:r>
        <w:rPr>
          <w:rFonts w:hint="eastAsia" w:cs="Times New Roman"/>
          <w:bCs/>
          <w:szCs w:val="32"/>
        </w:rPr>
        <w:t>大</w:t>
      </w:r>
      <w:r>
        <w:rPr>
          <w:rFonts w:cs="Times New Roman"/>
          <w:bCs/>
          <w:szCs w:val="32"/>
        </w:rPr>
        <w:t>数据</w:t>
      </w:r>
      <w:r>
        <w:rPr>
          <w:rFonts w:hint="eastAsia" w:cs="Times New Roman"/>
          <w:bCs/>
          <w:szCs w:val="32"/>
        </w:rPr>
        <w:t>管理与</w:t>
      </w:r>
      <w:r>
        <w:rPr>
          <w:rFonts w:cs="Times New Roman"/>
          <w:bCs/>
          <w:szCs w:val="32"/>
        </w:rPr>
        <w:t>新技术应用，</w:t>
      </w:r>
      <w:r>
        <w:rPr>
          <w:rFonts w:hint="eastAsia" w:cs="Times New Roman"/>
          <w:bCs/>
          <w:szCs w:val="32"/>
        </w:rPr>
        <w:t>推进平台间数据安全流动、</w:t>
      </w:r>
      <w:r>
        <w:rPr>
          <w:rFonts w:hint="eastAsia" w:cs="Times New Roman"/>
          <w:szCs w:val="32"/>
        </w:rPr>
        <w:t>可信交易、</w:t>
      </w:r>
      <w:r>
        <w:rPr>
          <w:rFonts w:cs="Times New Roman"/>
          <w:szCs w:val="32"/>
        </w:rPr>
        <w:t>汇聚共享</w:t>
      </w:r>
      <w:r>
        <w:rPr>
          <w:rFonts w:hint="eastAsia" w:cs="Times New Roman"/>
          <w:szCs w:val="32"/>
        </w:rPr>
        <w:t>和服务增值。</w:t>
      </w:r>
    </w:p>
    <w:p>
      <w:pPr>
        <w:spacing w:line="600" w:lineRule="exact"/>
        <w:ind w:firstLine="643" w:firstLineChars="200"/>
        <w:rPr>
          <w:rFonts w:cs="Times New Roman"/>
          <w:szCs w:val="32"/>
        </w:rPr>
      </w:pPr>
      <w:r>
        <w:rPr>
          <w:rFonts w:hint="eastAsia" w:ascii="楷体_GB2312" w:eastAsia="楷体_GB2312" w:cs="Times New Roman"/>
          <w:b/>
          <w:szCs w:val="32"/>
        </w:rPr>
        <w:t>（十八</w:t>
      </w:r>
      <w:r>
        <w:rPr>
          <w:rFonts w:ascii="楷体_GB2312" w:eastAsia="楷体_GB2312" w:cs="Times New Roman"/>
          <w:b/>
          <w:szCs w:val="32"/>
        </w:rPr>
        <w:t>）</w:t>
      </w:r>
      <w:r>
        <w:rPr>
          <w:rFonts w:hint="eastAsia" w:ascii="楷体_GB2312" w:eastAsia="楷体_GB2312" w:cs="Times New Roman"/>
          <w:b/>
          <w:szCs w:val="32"/>
        </w:rPr>
        <w:t>完善</w:t>
      </w:r>
      <w:r>
        <w:rPr>
          <w:rFonts w:ascii="楷体_GB2312" w:eastAsia="楷体_GB2312" w:cs="Times New Roman"/>
          <w:b/>
          <w:szCs w:val="32"/>
        </w:rPr>
        <w:t>平台</w:t>
      </w:r>
      <w:r>
        <w:rPr>
          <w:rFonts w:hint="eastAsia" w:ascii="楷体_GB2312" w:eastAsia="楷体_GB2312" w:cs="Times New Roman"/>
          <w:b/>
          <w:szCs w:val="32"/>
        </w:rPr>
        <w:t>安全保障体系。</w:t>
      </w:r>
      <w:r>
        <w:rPr>
          <w:rFonts w:hint="eastAsia" w:cs="Times New Roman"/>
          <w:szCs w:val="32"/>
        </w:rPr>
        <w:t>制定完善工业信息安全管理等政策法规，明确安全防护要求。建设国家工业信息安全综合保障平台，实时分析平台安全态势。强化</w:t>
      </w:r>
      <w:r>
        <w:rPr>
          <w:rFonts w:cs="Times New Roman"/>
          <w:szCs w:val="32"/>
        </w:rPr>
        <w:t>企业</w:t>
      </w:r>
      <w:r>
        <w:rPr>
          <w:rFonts w:hint="eastAsia" w:cs="Times New Roman"/>
          <w:szCs w:val="32"/>
        </w:rPr>
        <w:t>平台安全</w:t>
      </w:r>
      <w:r>
        <w:rPr>
          <w:rFonts w:cs="Times New Roman"/>
          <w:szCs w:val="32"/>
        </w:rPr>
        <w:t>主体责任，</w:t>
      </w:r>
      <w:r>
        <w:rPr>
          <w:rFonts w:hint="eastAsia" w:cs="Times New Roman"/>
          <w:szCs w:val="32"/>
        </w:rPr>
        <w:t>引导平台强化</w:t>
      </w:r>
      <w:r>
        <w:rPr>
          <w:rFonts w:cs="Times New Roman"/>
          <w:szCs w:val="32"/>
        </w:rPr>
        <w:t>安全防护意识</w:t>
      </w:r>
      <w:r>
        <w:rPr>
          <w:rFonts w:hint="eastAsia" w:cs="Times New Roman"/>
          <w:szCs w:val="32"/>
        </w:rPr>
        <w:t>，提升漏洞发现、安全防护和应急处置能力。</w:t>
      </w:r>
    </w:p>
    <w:p>
      <w:pPr>
        <w:rPr>
          <w:rFonts w:hint="eastAsia" w:ascii="黑体" w:hAnsi="黑体" w:eastAsia="黑体"/>
          <w:bCs/>
          <w:sz w:val="36"/>
          <w:szCs w:val="36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E"/>
    <w:rsid w:val="0002002E"/>
    <w:rsid w:val="00044557"/>
    <w:rsid w:val="000C3C61"/>
    <w:rsid w:val="0012160A"/>
    <w:rsid w:val="00137AB3"/>
    <w:rsid w:val="0019402A"/>
    <w:rsid w:val="001B0C1A"/>
    <w:rsid w:val="002008A6"/>
    <w:rsid w:val="002F3054"/>
    <w:rsid w:val="00305A99"/>
    <w:rsid w:val="0033089A"/>
    <w:rsid w:val="00360587"/>
    <w:rsid w:val="003874B5"/>
    <w:rsid w:val="003A0F54"/>
    <w:rsid w:val="003A1ECB"/>
    <w:rsid w:val="00507E40"/>
    <w:rsid w:val="00536560"/>
    <w:rsid w:val="00555903"/>
    <w:rsid w:val="005931AD"/>
    <w:rsid w:val="005A6054"/>
    <w:rsid w:val="005C07E7"/>
    <w:rsid w:val="005D3895"/>
    <w:rsid w:val="00645EEE"/>
    <w:rsid w:val="00676FB9"/>
    <w:rsid w:val="00693AA7"/>
    <w:rsid w:val="006B5DD9"/>
    <w:rsid w:val="006E329D"/>
    <w:rsid w:val="00706CEF"/>
    <w:rsid w:val="00716646"/>
    <w:rsid w:val="00776533"/>
    <w:rsid w:val="00784389"/>
    <w:rsid w:val="007857B7"/>
    <w:rsid w:val="0079789B"/>
    <w:rsid w:val="007D0DB7"/>
    <w:rsid w:val="007E6377"/>
    <w:rsid w:val="008A5BF8"/>
    <w:rsid w:val="008B4E6D"/>
    <w:rsid w:val="008B6025"/>
    <w:rsid w:val="00907235"/>
    <w:rsid w:val="00947419"/>
    <w:rsid w:val="00956CE8"/>
    <w:rsid w:val="009E1437"/>
    <w:rsid w:val="00A12FD2"/>
    <w:rsid w:val="00B13E81"/>
    <w:rsid w:val="00B45411"/>
    <w:rsid w:val="00BA7EA5"/>
    <w:rsid w:val="00BB14A8"/>
    <w:rsid w:val="00BE7C22"/>
    <w:rsid w:val="00C412D2"/>
    <w:rsid w:val="00C66D07"/>
    <w:rsid w:val="00C87F0B"/>
    <w:rsid w:val="00C97B52"/>
    <w:rsid w:val="00CC686E"/>
    <w:rsid w:val="00CD563B"/>
    <w:rsid w:val="00D3597A"/>
    <w:rsid w:val="00D526C4"/>
    <w:rsid w:val="00E044F7"/>
    <w:rsid w:val="00E14B6A"/>
    <w:rsid w:val="00F13D4E"/>
    <w:rsid w:val="00F2476C"/>
    <w:rsid w:val="00FE0D37"/>
    <w:rsid w:val="00FF5535"/>
    <w:rsid w:val="124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5"/>
    <w:link w:val="3"/>
    <w:uiPriority w:val="99"/>
    <w:rPr>
      <w:rFonts w:cs="黑体"/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rFonts w:cs="黑体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2405</Characters>
  <Lines>20</Lines>
  <Paragraphs>5</Paragraphs>
  <TotalTime>513</TotalTime>
  <ScaleCrop>false</ScaleCrop>
  <LinksUpToDate>false</LinksUpToDate>
  <CharactersWithSpaces>2821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2018-05-31T01:04:00Z</dcterms:created>
  <dc:creator>Tian HC</dc:creator>
  <cp:lastModifiedBy>顾建萍</cp:lastModifiedBy>
  <cp:lastPrinted>2018-06-03T07:33:00Z</cp:lastPrinted>
  <dcterms:modified xsi:type="dcterms:W3CDTF">2018-07-19T08:40:10Z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